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5D" w:rsidRPr="0082276A" w:rsidRDefault="00230618">
      <w:pPr>
        <w:rPr>
          <w:rFonts w:ascii="Verdana" w:hAnsi="Verdana"/>
          <w:color w:val="808080"/>
          <w:sz w:val="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noProof/>
          <w:color w:val="808080"/>
          <w:sz w:val="15"/>
        </w:rPr>
        <w:drawing>
          <wp:anchor distT="0" distB="0" distL="114300" distR="114300" simplePos="0" relativeHeight="251659264" behindDoc="0" locked="0" layoutInCell="1" allowOverlap="1" wp14:anchorId="781489E6" wp14:editId="46FB2FA5">
            <wp:simplePos x="0" y="0"/>
            <wp:positionH relativeFrom="column">
              <wp:posOffset>2513</wp:posOffset>
            </wp:positionH>
            <wp:positionV relativeFrom="paragraph">
              <wp:posOffset>-235638</wp:posOffset>
            </wp:positionV>
            <wp:extent cx="3085106" cy="489942"/>
            <wp:effectExtent l="0" t="0" r="127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C_w_L_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518" cy="497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B0B" w:rsidRPr="0082276A" w:rsidRDefault="00B95B0B">
      <w:pPr>
        <w:rPr>
          <w:rFonts w:ascii="Verdana" w:hAnsi="Verdana"/>
          <w:color w:val="808080"/>
          <w:sz w:val="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305D" w:rsidRPr="0082276A" w:rsidRDefault="0061305D">
      <w:pPr>
        <w:rPr>
          <w:rFonts w:ascii="Verdana" w:hAnsi="Verdana"/>
          <w:color w:val="808080"/>
          <w:sz w:val="15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5B0B" w:rsidRDefault="00B95B0B">
      <w:r w:rsidRPr="0082276A">
        <w:rPr>
          <w:rFonts w:ascii="Verdana" w:hAnsi="Verdana"/>
          <w:color w:val="808080"/>
          <w:sz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Excerpt from payment details of the invoices</w:t>
      </w:r>
    </w:p>
    <w:p w:rsidR="00B95B0B" w:rsidRPr="009109FB" w:rsidRDefault="00B95B0B" w:rsidP="00B95B0B">
      <w:pPr>
        <w:pStyle w:val="NormalWeb"/>
        <w:widowControl w:val="0"/>
        <w:jc w:val="right"/>
        <w:rPr>
          <w:rFonts w:ascii="Verdana" w:hAnsi="Verdana"/>
          <w:color w:val="808080"/>
          <w:sz w:val="15"/>
          <w:szCs w:val="15"/>
        </w:rPr>
      </w:pPr>
      <w:bookmarkStart w:id="0" w:name="_GoBack"/>
      <w:bookmarkEnd w:id="0"/>
      <w:r w:rsidRPr="009109FB">
        <w:rPr>
          <w:rFonts w:ascii="Verdana" w:hAnsi="Verdana"/>
          <w:color w:val="808080"/>
          <w:sz w:val="15"/>
          <w:szCs w:val="15"/>
        </w:rPr>
        <w:t xml:space="preserve">Client's ID Code </w:t>
      </w:r>
      <w:r w:rsidR="009109FB">
        <w:rPr>
          <w:rFonts w:ascii="Verdana" w:hAnsi="Verdana"/>
          <w:color w:val="808080"/>
          <w:sz w:val="15"/>
          <w:szCs w:val="15"/>
        </w:rPr>
        <w:t>___________</w:t>
      </w:r>
    </w:p>
    <w:p w:rsidR="00B95B0B" w:rsidRPr="0082276A" w:rsidRDefault="00B95B0B" w:rsidP="00B95B0B">
      <w:pPr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76A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Refundable Admission Fee</w:t>
      </w:r>
    </w:p>
    <w:p w:rsidR="009E6340" w:rsidRDefault="00B45136" w:rsidP="00B64C32">
      <w:pPr>
        <w:pStyle w:val="BodyTextIndent2"/>
        <w:widowControl w:val="0"/>
        <w:spacing w:after="0" w:afterAutospacing="0"/>
        <w:jc w:val="both"/>
        <w:rPr>
          <w:rFonts w:ascii="Bookman Old Style" w:hAnsi="Bookman Old Style"/>
          <w:bCs/>
          <w:color w:val="4D4D4D"/>
          <w:sz w:val="22"/>
          <w:szCs w:val="22"/>
          <w:lang w:val="bg-BG"/>
        </w:rPr>
      </w:pPr>
      <w:r>
        <w:rPr>
          <w:rFonts w:ascii="Bookman Old Style" w:hAnsi="Bookman Old Style"/>
          <w:bCs/>
          <w:i/>
          <w:iCs/>
          <w:sz w:val="22"/>
          <w:szCs w:val="22"/>
        </w:rPr>
        <w:t>Admission Fee </w:t>
      </w:r>
      <w:r w:rsidR="00B95B0B" w:rsidRPr="00B95B0B">
        <w:rPr>
          <w:rFonts w:ascii="Bookman Old Style" w:hAnsi="Bookman Old Style"/>
          <w:bCs/>
          <w:i/>
          <w:iCs/>
          <w:sz w:val="22"/>
          <w:szCs w:val="22"/>
        </w:rPr>
        <w:t>Deposit</w:t>
      </w:r>
      <w:r w:rsidR="003C3CA5">
        <w:rPr>
          <w:rFonts w:ascii="Bookman Old Style" w:hAnsi="Bookman Old Style"/>
          <w:bCs/>
          <w:i/>
          <w:iCs/>
          <w:sz w:val="22"/>
          <w:szCs w:val="22"/>
        </w:rPr>
        <w:t>.</w:t>
      </w:r>
      <w:r w:rsidR="00E4522B" w:rsidRPr="00253A85">
        <w:rPr>
          <w:rStyle w:val="FootnoteReference"/>
          <w:rFonts w:ascii="Bookman Old Style" w:hAnsi="Bookman Old Style"/>
          <w:b/>
          <w:color w:val="008080"/>
        </w:rPr>
        <w:footnoteReference w:id="1"/>
      </w:r>
      <w:r w:rsidR="003C3CA5">
        <w:rPr>
          <w:rFonts w:ascii="Bookman Old Style" w:hAnsi="Bookman Old Style"/>
          <w:bCs/>
          <w:color w:val="4D4D4D"/>
          <w:sz w:val="22"/>
          <w:szCs w:val="22"/>
        </w:rPr>
        <w:t xml:space="preserve"> T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his deposit is </w:t>
      </w:r>
      <w:r w:rsidRPr="00B45136">
        <w:rPr>
          <w:rFonts w:ascii="Bookman Old Style" w:hAnsi="Bookman Old Style"/>
          <w:bCs/>
          <w:smallCaps/>
          <w:sz w:val="22"/>
          <w:szCs w:val="22"/>
        </w:rPr>
        <w:t>refundable</w:t>
      </w:r>
      <w:r w:rsidR="00B95B0B" w:rsidRPr="00B45136">
        <w:rPr>
          <w:rFonts w:ascii="Bookman Old Style" w:hAnsi="Bookman Old Style"/>
          <w:bCs/>
          <w:smallCaps/>
          <w:sz w:val="22"/>
          <w:szCs w:val="22"/>
        </w:rPr>
        <w:t xml:space="preserve"> in </w:t>
      </w:r>
      <w:r w:rsidR="007B7613" w:rsidRPr="00B45136">
        <w:rPr>
          <w:rFonts w:ascii="Bookman Old Style" w:hAnsi="Bookman Old Style"/>
          <w:bCs/>
          <w:smallCaps/>
          <w:sz w:val="22"/>
          <w:szCs w:val="22"/>
        </w:rPr>
        <w:t>its</w:t>
      </w:r>
      <w:r w:rsidR="00B95B0B" w:rsidRPr="00B45136">
        <w:rPr>
          <w:rFonts w:ascii="Bookman Old Style" w:hAnsi="Bookman Old Style"/>
          <w:bCs/>
          <w:smallCaps/>
          <w:sz w:val="22"/>
          <w:szCs w:val="22"/>
        </w:rPr>
        <w:t xml:space="preserve"> part remaining unex</w:t>
      </w:r>
      <w:r w:rsidR="007671B3">
        <w:rPr>
          <w:rFonts w:ascii="Bookman Old Style" w:hAnsi="Bookman Old Style"/>
          <w:bCs/>
          <w:smallCaps/>
          <w:sz w:val="22"/>
          <w:szCs w:val="22"/>
        </w:rPr>
        <w:softHyphen/>
      </w:r>
      <w:r w:rsidR="00B95B0B" w:rsidRPr="00B45136">
        <w:rPr>
          <w:rFonts w:ascii="Bookman Old Style" w:hAnsi="Bookman Old Style"/>
          <w:bCs/>
          <w:smallCaps/>
          <w:sz w:val="22"/>
          <w:szCs w:val="22"/>
        </w:rPr>
        <w:t>pended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and further retrieved. Upon receiving the cash deposit against our Pro-forma Invoice, the retained </w:t>
      </w:r>
      <w:r w:rsidR="00B95B0B" w:rsidRPr="00B95B0B">
        <w:rPr>
          <w:rFonts w:ascii="Bookman Old Style" w:hAnsi="Bookman Old Style"/>
          <w:bCs/>
          <w:i/>
          <w:color w:val="4D4D4D"/>
          <w:sz w:val="22"/>
          <w:szCs w:val="22"/>
        </w:rPr>
        <w:t xml:space="preserve">Client’s Reference ID number 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is activated, the service </w:t>
      </w:r>
      <w:r w:rsidR="000714FD">
        <w:rPr>
          <w:rFonts w:ascii="Bookman Old Style" w:hAnsi="Bookman Old Style"/>
          <w:bCs/>
          <w:color w:val="4D4D4D"/>
          <w:sz w:val="22"/>
          <w:szCs w:val="22"/>
        </w:rPr>
        <w:t>goes to an automatic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enforceab</w:t>
      </w:r>
      <w:r w:rsidR="000714FD">
        <w:rPr>
          <w:rFonts w:ascii="Bookman Old Style" w:hAnsi="Bookman Old Style"/>
          <w:bCs/>
          <w:color w:val="4D4D4D"/>
          <w:sz w:val="22"/>
          <w:szCs w:val="22"/>
        </w:rPr>
        <w:t>i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>l</w:t>
      </w:r>
      <w:r w:rsidR="000714FD">
        <w:rPr>
          <w:rFonts w:ascii="Bookman Old Style" w:hAnsi="Bookman Old Style"/>
          <w:bCs/>
          <w:color w:val="4D4D4D"/>
          <w:sz w:val="22"/>
          <w:szCs w:val="22"/>
        </w:rPr>
        <w:t>ity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>, and the development of the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 xml:space="preserve"> Client’s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Project can be triggered. The ID# forms </w:t>
      </w:r>
      <w:r w:rsidR="000714FD">
        <w:rPr>
          <w:rFonts w:ascii="Bookman Old Style" w:hAnsi="Bookman Old Style"/>
          <w:bCs/>
          <w:color w:val="4D4D4D"/>
          <w:sz w:val="22"/>
          <w:szCs w:val="22"/>
        </w:rPr>
        <w:t xml:space="preserve">is 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a part of </w:t>
      </w:r>
      <w:r w:rsidR="00847506">
        <w:rPr>
          <w:rFonts w:ascii="Bookman Old Style" w:hAnsi="Bookman Old Style"/>
          <w:bCs/>
          <w:color w:val="4D4D4D"/>
          <w:sz w:val="22"/>
          <w:szCs w:val="22"/>
        </w:rPr>
        <w:t>our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transaction code. It wil</w:t>
      </w:r>
      <w:r w:rsidR="000714FD">
        <w:rPr>
          <w:rFonts w:ascii="Bookman Old Style" w:hAnsi="Bookman Old Style"/>
          <w:bCs/>
          <w:color w:val="4D4D4D"/>
          <w:sz w:val="22"/>
          <w:szCs w:val="22"/>
        </w:rPr>
        <w:t>l be fur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softHyphen/>
      </w:r>
      <w:r w:rsidR="000714FD">
        <w:rPr>
          <w:rFonts w:ascii="Bookman Old Style" w:hAnsi="Bookman Old Style"/>
          <w:bCs/>
          <w:color w:val="4D4D4D"/>
          <w:sz w:val="22"/>
          <w:szCs w:val="22"/>
        </w:rPr>
        <w:t>ther embedded on any legal document</w:t>
      </w:r>
      <w:r w:rsidR="00B95B0B"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referring the Client's tr</w:t>
      </w:r>
      <w:r w:rsidR="009E6340">
        <w:rPr>
          <w:rFonts w:ascii="Bookman Old Style" w:hAnsi="Bookman Old Style"/>
          <w:bCs/>
          <w:color w:val="4D4D4D"/>
          <w:sz w:val="22"/>
          <w:szCs w:val="22"/>
        </w:rPr>
        <w:t xml:space="preserve">ansaction </w:t>
      </w:r>
      <w:r w:rsidR="000714FD">
        <w:rPr>
          <w:rFonts w:ascii="Bookman Old Style" w:hAnsi="Bookman Old Style"/>
          <w:bCs/>
          <w:color w:val="4D4D4D"/>
          <w:sz w:val="22"/>
          <w:szCs w:val="22"/>
        </w:rPr>
        <w:t xml:space="preserve">that is or will be </w:t>
      </w:r>
      <w:r w:rsidR="009E6340">
        <w:rPr>
          <w:rFonts w:ascii="Bookman Old Style" w:hAnsi="Bookman Old Style"/>
          <w:bCs/>
          <w:color w:val="4D4D4D"/>
          <w:sz w:val="22"/>
          <w:szCs w:val="22"/>
        </w:rPr>
        <w:t>completed through us.</w:t>
      </w:r>
    </w:p>
    <w:p w:rsidR="00B95B0B" w:rsidRPr="00B95B0B" w:rsidRDefault="00B95B0B" w:rsidP="001C5F37">
      <w:pPr>
        <w:pStyle w:val="BodyTextIndent2"/>
        <w:widowControl w:val="0"/>
        <w:spacing w:before="120" w:beforeAutospacing="0" w:after="0" w:afterAutospacing="0"/>
        <w:jc w:val="both"/>
        <w:rPr>
          <w:rFonts w:ascii="Bookman Old Style" w:hAnsi="Bookman Old Style"/>
          <w:color w:val="4D4D4D"/>
          <w:sz w:val="22"/>
          <w:szCs w:val="22"/>
        </w:rPr>
      </w:pPr>
      <w:r w:rsidRPr="00B95B0B">
        <w:rPr>
          <w:rFonts w:ascii="Bookman Old Style" w:hAnsi="Bookman Old Style"/>
          <w:bCs/>
          <w:color w:val="4D4D4D"/>
          <w:sz w:val="22"/>
          <w:szCs w:val="22"/>
        </w:rPr>
        <w:t>The deposited sum is to meet and reimburse a part of the following expenses made in service of the Client:</w:t>
      </w:r>
      <w:r w:rsidRPr="00B95B0B">
        <w:rPr>
          <w:rFonts w:ascii="Bookman Old Style" w:hAnsi="Bookman Old Style"/>
          <w:color w:val="4D4D4D"/>
          <w:sz w:val="22"/>
          <w:szCs w:val="22"/>
        </w:rPr>
        <w:t xml:space="preserve"> </w:t>
      </w:r>
    </w:p>
    <w:p w:rsidR="00B95B0B" w:rsidRPr="00B95B0B" w:rsidRDefault="00B95B0B" w:rsidP="00307CCA">
      <w:pPr>
        <w:numPr>
          <w:ilvl w:val="0"/>
          <w:numId w:val="1"/>
        </w:numPr>
        <w:tabs>
          <w:tab w:val="clear" w:pos="995"/>
        </w:tabs>
        <w:spacing w:before="64"/>
        <w:ind w:left="720"/>
        <w:jc w:val="both"/>
        <w:rPr>
          <w:rFonts w:ascii="Bookman Old Style" w:hAnsi="Bookman Old Style"/>
          <w:color w:val="4D4D4D"/>
          <w:sz w:val="22"/>
          <w:szCs w:val="22"/>
        </w:rPr>
      </w:pPr>
      <w:r w:rsidRPr="00B95B0B">
        <w:rPr>
          <w:rFonts w:ascii="Bookman Old Style" w:hAnsi="Bookman Old Style"/>
          <w:bCs/>
          <w:color w:val="4D4D4D"/>
          <w:sz w:val="22"/>
          <w:szCs w:val="22"/>
        </w:rPr>
        <w:t>Small initial outlays, such as phone and fax communications, courier/messen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t>-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ger services, bank wire charges, </w:t>
      </w:r>
      <w:r w:rsidR="00E4522B">
        <w:rPr>
          <w:rFonts w:ascii="Bookman Old Style" w:hAnsi="Bookman Old Style"/>
          <w:bCs/>
          <w:color w:val="4D4D4D"/>
          <w:sz w:val="22"/>
          <w:szCs w:val="22"/>
        </w:rPr>
        <w:t xml:space="preserve">translations, 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legal taxes, etc., all those currently paid for running the Client’s business venture </w:t>
      </w:r>
      <w:r w:rsidR="007C2058" w:rsidRPr="007C2058">
        <w:rPr>
          <w:rFonts w:ascii="Bookman Old Style" w:hAnsi="Bookman Old Style"/>
          <w:bCs/>
          <w:color w:val="4D4D4D"/>
          <w:sz w:val="22"/>
          <w:szCs w:val="22"/>
        </w:rPr>
        <w:t>(</w:t>
      </w:r>
      <w:hyperlink r:id="rId9" w:tgtFrame="_self" w:history="1">
        <w:r w:rsidR="007C2058" w:rsidRPr="007C2058">
          <w:rPr>
            <w:rStyle w:val="Hyperlink"/>
            <w:rFonts w:ascii="Bookman Old Style" w:hAnsi="Bookman Old Style"/>
            <w:bCs/>
            <w:sz w:val="22"/>
            <w:szCs w:val="22"/>
          </w:rPr>
          <w:t>allowance</w:t>
        </w:r>
      </w:hyperlink>
      <w:r w:rsidR="007C2058" w:rsidRPr="007C2058">
        <w:rPr>
          <w:rFonts w:ascii="Bookman Old Style" w:hAnsi="Bookman Old Style"/>
          <w:bCs/>
          <w:color w:val="4D4D4D"/>
          <w:sz w:val="22"/>
          <w:szCs w:val="22"/>
        </w:rPr>
        <w:t xml:space="preserve"> hereunto included, but no IIC officer’s salaries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). Thus the re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softHyphen/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quirements of </w:t>
      </w:r>
      <w:r w:rsidR="001C5F37">
        <w:rPr>
          <w:rFonts w:ascii="Bookman Old Style" w:hAnsi="Bookman Old Style"/>
          <w:bCs/>
          <w:color w:val="4D4D4D"/>
          <w:sz w:val="22"/>
          <w:szCs w:val="22"/>
        </w:rPr>
        <w:t>tax-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legally sufficient </w:t>
      </w:r>
      <w:r w:rsidR="00B64C32">
        <w:rPr>
          <w:rFonts w:ascii="Bookman Old Style" w:hAnsi="Bookman Old Style"/>
          <w:bCs/>
          <w:color w:val="4D4D4D"/>
          <w:sz w:val="22"/>
          <w:szCs w:val="22"/>
        </w:rPr>
        <w:t>consideration and bargained-for</w:t>
      </w:r>
      <w:r w:rsidR="00B64C32">
        <w:rPr>
          <w:rFonts w:ascii="Bookman Old Style" w:hAnsi="Bookman Old Style"/>
          <w:bCs/>
          <w:color w:val="4D4D4D"/>
          <w:sz w:val="22"/>
          <w:szCs w:val="22"/>
          <w:lang w:val="bg-BG"/>
        </w:rPr>
        <w:t>-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exchange will be satisfactorily achieved. However, it is certainly not ex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softHyphen/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pected the retained sum to reimburse all expenses in full</w:t>
      </w:r>
      <w:r w:rsidR="00B64C32">
        <w:rPr>
          <w:rFonts w:ascii="Bookman Old Style" w:hAnsi="Bookman Old Style"/>
          <w:bCs/>
          <w:color w:val="4D4D4D"/>
          <w:sz w:val="22"/>
          <w:szCs w:val="22"/>
          <w:lang w:val="bg-BG"/>
        </w:rPr>
        <w:t xml:space="preserve"> </w:t>
      </w:r>
      <w:r w:rsidR="00B64C32">
        <w:rPr>
          <w:rFonts w:ascii="Bookman Old Style" w:hAnsi="Bookman Old Style"/>
          <w:bCs/>
          <w:color w:val="4D4D4D"/>
          <w:sz w:val="22"/>
          <w:szCs w:val="22"/>
        </w:rPr>
        <w:t>in each trans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softHyphen/>
      </w:r>
      <w:r w:rsidR="00B64C32">
        <w:rPr>
          <w:rFonts w:ascii="Bookman Old Style" w:hAnsi="Bookman Old Style"/>
          <w:bCs/>
          <w:color w:val="4D4D4D"/>
          <w:sz w:val="22"/>
          <w:szCs w:val="22"/>
        </w:rPr>
        <w:t>action.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</w:t>
      </w:r>
    </w:p>
    <w:p w:rsidR="00B95B0B" w:rsidRPr="00B95B0B" w:rsidRDefault="00B95B0B" w:rsidP="00307CCA">
      <w:pPr>
        <w:numPr>
          <w:ilvl w:val="0"/>
          <w:numId w:val="1"/>
        </w:numPr>
        <w:tabs>
          <w:tab w:val="clear" w:pos="995"/>
        </w:tabs>
        <w:spacing w:before="64"/>
        <w:ind w:left="720"/>
        <w:jc w:val="both"/>
        <w:rPr>
          <w:rFonts w:ascii="Bookman Old Style" w:hAnsi="Bookman Old Style"/>
          <w:color w:val="4D4D4D"/>
          <w:sz w:val="22"/>
          <w:szCs w:val="22"/>
        </w:rPr>
      </w:pPr>
      <w:r w:rsidRPr="00B95B0B">
        <w:rPr>
          <w:rFonts w:ascii="Bookman Old Style" w:hAnsi="Bookman Old Style"/>
          <w:bCs/>
          <w:color w:val="4D4D4D"/>
          <w:sz w:val="22"/>
          <w:szCs w:val="22"/>
        </w:rPr>
        <w:t>Incidental expenses</w:t>
      </w:r>
      <w:r w:rsidR="00836733" w:rsidRPr="00253A85">
        <w:rPr>
          <w:rStyle w:val="FootnoteReference"/>
          <w:rFonts w:ascii="Bookman Old Style" w:hAnsi="Bookman Old Style"/>
          <w:b/>
          <w:bCs/>
          <w:color w:val="008080"/>
        </w:rPr>
        <w:footnoteReference w:id="2"/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; </w:t>
      </w:r>
      <w:r w:rsidRPr="00B95B0B">
        <w:rPr>
          <w:rFonts w:ascii="Bookman Old Style" w:hAnsi="Bookman Old Style"/>
          <w:bCs/>
          <w:i/>
          <w:iCs/>
          <w:color w:val="4D4D4D"/>
          <w:sz w:val="22"/>
          <w:szCs w:val="22"/>
        </w:rPr>
        <w:t>and</w:t>
      </w:r>
    </w:p>
    <w:p w:rsidR="00B95B0B" w:rsidRPr="000B3F2F" w:rsidRDefault="00B95B0B" w:rsidP="00307CCA">
      <w:pPr>
        <w:numPr>
          <w:ilvl w:val="0"/>
          <w:numId w:val="1"/>
        </w:numPr>
        <w:tabs>
          <w:tab w:val="clear" w:pos="995"/>
        </w:tabs>
        <w:spacing w:before="64"/>
        <w:ind w:left="720"/>
        <w:jc w:val="both"/>
        <w:rPr>
          <w:rFonts w:ascii="Bookman Old Style" w:hAnsi="Bookman Old Style"/>
          <w:bCs/>
          <w:color w:val="4D4D4D"/>
          <w:sz w:val="22"/>
          <w:szCs w:val="22"/>
        </w:rPr>
      </w:pPr>
      <w:r w:rsidRPr="00B95B0B">
        <w:rPr>
          <w:rFonts w:ascii="Bookman Old Style" w:hAnsi="Bookman Old Style"/>
          <w:bCs/>
          <w:color w:val="4D4D4D"/>
          <w:sz w:val="22"/>
          <w:szCs w:val="22"/>
        </w:rPr>
        <w:t>The balance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>s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of both the currency exchange rates, and </w:t>
      </w:r>
      <w:r w:rsidR="00346EDA">
        <w:rPr>
          <w:rFonts w:ascii="Bookman Old Style" w:hAnsi="Bookman Old Style"/>
          <w:bCs/>
          <w:color w:val="4D4D4D"/>
          <w:sz w:val="22"/>
          <w:szCs w:val="22"/>
        </w:rPr>
        <w:t xml:space="preserve">the 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 xml:space="preserve">difference 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be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softHyphen/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tween the</w:t>
      </w:r>
      <w:r w:rsidRPr="00B95B0B">
        <w:rPr>
          <w:rFonts w:ascii="Bookman Old Style" w:hAnsi="Bookman Old Style"/>
          <w:bCs/>
          <w:color w:val="4D4D4D"/>
          <w:sz w:val="22"/>
          <w:szCs w:val="22"/>
          <w:lang w:val="bg-BG"/>
        </w:rPr>
        <w:t xml:space="preserve"> 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planed and charged business travel costs, if any.</w:t>
      </w:r>
    </w:p>
    <w:p w:rsidR="00B95B0B" w:rsidRDefault="00B95B0B" w:rsidP="001C5F37">
      <w:pPr>
        <w:spacing w:before="120"/>
        <w:jc w:val="both"/>
        <w:rPr>
          <w:rFonts w:ascii="Bookman Old Style" w:hAnsi="Bookman Old Style"/>
          <w:bCs/>
          <w:color w:val="4D4D4D"/>
          <w:sz w:val="22"/>
          <w:szCs w:val="22"/>
          <w:lang w:val="bg-BG"/>
        </w:rPr>
      </w:pPr>
      <w:r w:rsidRPr="00B95B0B">
        <w:rPr>
          <w:rFonts w:ascii="Bookman Old Style" w:hAnsi="Bookman Old Style"/>
          <w:bCs/>
          <w:color w:val="4D4D4D"/>
          <w:sz w:val="22"/>
          <w:szCs w:val="22"/>
        </w:rPr>
        <w:lastRenderedPageBreak/>
        <w:t>The Client shall pay</w:t>
      </w:r>
      <w:r w:rsidR="00181D0D">
        <w:rPr>
          <w:rFonts w:ascii="Bookman Old Style" w:hAnsi="Bookman Old Style"/>
          <w:bCs/>
          <w:color w:val="4D4D4D"/>
          <w:sz w:val="22"/>
          <w:szCs w:val="22"/>
          <w:lang w:val="bg-BG"/>
        </w:rPr>
        <w:t xml:space="preserve"> 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extra compensation for overcoming unforeseen and sub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softHyphen/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stantial difficulties that IIC’s personnel may encounter in the 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 xml:space="preserve">local 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country of the Client or where the Project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>’s acquisitions domicile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, and which have not been anticipated at the time 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>it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>happen</w:t>
      </w:r>
      <w:r w:rsidR="00C27C60">
        <w:rPr>
          <w:rFonts w:ascii="Bookman Old Style" w:hAnsi="Bookman Old Style"/>
          <w:bCs/>
          <w:color w:val="4D4D4D"/>
          <w:sz w:val="22"/>
          <w:szCs w:val="22"/>
        </w:rPr>
        <w:t>ed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. When the conditions 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>so require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, the Client will 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 xml:space="preserve">be 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submit</w:t>
      </w:r>
      <w:r w:rsidR="005F1524">
        <w:rPr>
          <w:rFonts w:ascii="Bookman Old Style" w:hAnsi="Bookman Old Style"/>
          <w:bCs/>
          <w:color w:val="4D4D4D"/>
          <w:sz w:val="22"/>
          <w:szCs w:val="22"/>
        </w:rPr>
        <w:t>ted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for </w:t>
      </w:r>
      <w:r w:rsidRPr="001C5F37">
        <w:rPr>
          <w:rFonts w:ascii="Bookman Old Style" w:hAnsi="Bookman Old Style"/>
          <w:bCs/>
          <w:smallCaps/>
          <w:color w:val="4D4D4D"/>
          <w:sz w:val="22"/>
          <w:szCs w:val="22"/>
        </w:rPr>
        <w:t>approval this expenses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>. A</w:t>
      </w:r>
      <w:r w:rsidR="001C5F37" w:rsidRPr="001C5F37">
        <w:rPr>
          <w:rFonts w:ascii="Bookman Old Style" w:hAnsi="Bookman Old Style"/>
          <w:bCs/>
          <w:color w:val="4D4D4D"/>
          <w:sz w:val="22"/>
          <w:szCs w:val="22"/>
        </w:rPr>
        <w:t xml:space="preserve"> </w:t>
      </w:r>
      <w:r w:rsidR="001C5F37" w:rsidRPr="00B95B0B">
        <w:rPr>
          <w:rFonts w:ascii="Bookman Old Style" w:hAnsi="Bookman Old Style"/>
          <w:bCs/>
          <w:color w:val="4D4D4D"/>
          <w:sz w:val="22"/>
          <w:szCs w:val="22"/>
        </w:rPr>
        <w:t>default</w:t>
      </w:r>
      <w:r w:rsidR="001C5F37">
        <w:rPr>
          <w:rFonts w:ascii="Bookman Old Style" w:hAnsi="Bookman Old Style"/>
          <w:bCs/>
          <w:color w:val="4D4D4D"/>
          <w:sz w:val="22"/>
          <w:szCs w:val="22"/>
        </w:rPr>
        <w:t xml:space="preserve"> </w:t>
      </w:r>
      <w:r w:rsidR="001E28D1">
        <w:rPr>
          <w:rFonts w:ascii="Bookman Old Style" w:hAnsi="Bookman Old Style"/>
          <w:bCs/>
          <w:color w:val="4D4D4D"/>
          <w:sz w:val="22"/>
          <w:szCs w:val="22"/>
        </w:rPr>
        <w:t>in the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</w:t>
      </w:r>
      <w:r w:rsidR="00D854B1">
        <w:rPr>
          <w:rFonts w:ascii="Bookman Old Style" w:hAnsi="Bookman Old Style"/>
          <w:bCs/>
          <w:color w:val="4D4D4D"/>
          <w:sz w:val="22"/>
          <w:szCs w:val="22"/>
        </w:rPr>
        <w:t>Client’s fulfill</w:t>
      </w:r>
      <w:r w:rsidR="007671B3">
        <w:rPr>
          <w:rFonts w:ascii="Bookman Old Style" w:hAnsi="Bookman Old Style"/>
          <w:bCs/>
          <w:color w:val="4D4D4D"/>
          <w:sz w:val="22"/>
          <w:szCs w:val="22"/>
        </w:rPr>
        <w:softHyphen/>
      </w:r>
      <w:r w:rsidR="00D854B1">
        <w:rPr>
          <w:rFonts w:ascii="Bookman Old Style" w:hAnsi="Bookman Old Style"/>
          <w:bCs/>
          <w:color w:val="4D4D4D"/>
          <w:sz w:val="22"/>
          <w:szCs w:val="22"/>
        </w:rPr>
        <w:t xml:space="preserve">ment 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of this </w:t>
      </w:r>
      <w:r w:rsidR="00D854B1">
        <w:rPr>
          <w:rFonts w:ascii="Bookman Old Style" w:hAnsi="Bookman Old Style"/>
          <w:bCs/>
          <w:color w:val="4D4D4D"/>
          <w:sz w:val="22"/>
          <w:szCs w:val="22"/>
        </w:rPr>
        <w:t>term could</w:t>
      </w:r>
      <w:r w:rsidRPr="00B95B0B">
        <w:rPr>
          <w:rFonts w:ascii="Bookman Old Style" w:hAnsi="Bookman Old Style"/>
          <w:bCs/>
          <w:color w:val="4D4D4D"/>
          <w:sz w:val="22"/>
          <w:szCs w:val="22"/>
        </w:rPr>
        <w:t xml:space="preserve"> </w:t>
      </w:r>
      <w:r w:rsidR="00783DF5" w:rsidRPr="00783DF5">
        <w:rPr>
          <w:rFonts w:ascii="Bookman Old Style" w:hAnsi="Bookman Old Style"/>
          <w:bCs/>
          <w:color w:val="4D4D4D"/>
          <w:sz w:val="22"/>
          <w:szCs w:val="22"/>
        </w:rPr>
        <w:t>revoke new nego</w:t>
      </w:r>
      <w:r w:rsidR="00783DF5">
        <w:rPr>
          <w:rFonts w:ascii="Bookman Old Style" w:hAnsi="Bookman Old Style"/>
          <w:bCs/>
          <w:color w:val="4D4D4D"/>
          <w:sz w:val="22"/>
          <w:szCs w:val="22"/>
        </w:rPr>
        <w:t>tiations and amendment of some </w:t>
      </w:r>
      <w:r w:rsidR="00783DF5" w:rsidRPr="00783DF5">
        <w:rPr>
          <w:rFonts w:ascii="Bookman Old Style" w:hAnsi="Bookman Old Style"/>
          <w:bCs/>
          <w:color w:val="4D4D4D"/>
          <w:sz w:val="22"/>
          <w:szCs w:val="22"/>
        </w:rPr>
        <w:t>of the Contract terms about the payments.</w:t>
      </w:r>
    </w:p>
    <w:p w:rsidR="007671B3" w:rsidRPr="007671B3" w:rsidRDefault="007671B3" w:rsidP="001C5F37">
      <w:pPr>
        <w:spacing w:before="120"/>
        <w:jc w:val="both"/>
        <w:rPr>
          <w:rFonts w:ascii="Bookman Old Style" w:hAnsi="Bookman Old Style"/>
          <w:bCs/>
          <w:color w:val="4D4D4D"/>
          <w:sz w:val="22"/>
          <w:szCs w:val="22"/>
        </w:rPr>
      </w:pPr>
      <w:r>
        <w:rPr>
          <w:rFonts w:ascii="Bookman Old Style" w:hAnsi="Bookman Old Style"/>
          <w:bCs/>
          <w:color w:val="4D4D4D"/>
          <w:sz w:val="22"/>
          <w:szCs w:val="22"/>
        </w:rPr>
        <w:t>The Admission Fee is also a form of guarantee on the Client’s seriousness of his invest</w:t>
      </w:r>
      <w:r>
        <w:rPr>
          <w:rFonts w:ascii="Bookman Old Style" w:hAnsi="Bookman Old Style"/>
          <w:bCs/>
          <w:color w:val="4D4D4D"/>
          <w:sz w:val="22"/>
          <w:szCs w:val="22"/>
        </w:rPr>
        <w:softHyphen/>
        <w:t>ment intention</w:t>
      </w:r>
      <w:r w:rsidR="00F14DC1">
        <w:rPr>
          <w:rFonts w:ascii="Bookman Old Style" w:hAnsi="Bookman Old Style"/>
          <w:bCs/>
          <w:color w:val="4D4D4D"/>
          <w:sz w:val="22"/>
          <w:szCs w:val="22"/>
        </w:rPr>
        <w:t>.</w:t>
      </w:r>
    </w:p>
    <w:p w:rsidR="0061305D" w:rsidRDefault="0061305D" w:rsidP="00B95B0B">
      <w:pPr>
        <w:spacing w:before="64"/>
        <w:jc w:val="center"/>
        <w:rPr>
          <w:i/>
          <w:sz w:val="22"/>
          <w:szCs w:val="22"/>
          <w:lang w:val="bg-BG"/>
        </w:rPr>
      </w:pPr>
    </w:p>
    <w:p w:rsidR="00B95B0B" w:rsidRPr="00B95B0B" w:rsidRDefault="00B95B0B" w:rsidP="00B95B0B">
      <w:pPr>
        <w:spacing w:before="64"/>
        <w:jc w:val="center"/>
        <w:rPr>
          <w:rFonts w:ascii="Bookman Old Style" w:hAnsi="Bookman Old Style"/>
          <w:bCs/>
          <w:i/>
          <w:color w:val="666666"/>
          <w:sz w:val="22"/>
          <w:szCs w:val="22"/>
        </w:rPr>
      </w:pPr>
      <w:r w:rsidRPr="00B95B0B">
        <w:rPr>
          <w:i/>
          <w:sz w:val="22"/>
          <w:szCs w:val="22"/>
        </w:rPr>
        <w:t>Services cannot be provided when accounts are overdue for payment and</w:t>
      </w:r>
      <w:r w:rsidR="001C5F37">
        <w:rPr>
          <w:i/>
          <w:sz w:val="22"/>
          <w:szCs w:val="22"/>
        </w:rPr>
        <w:br/>
      </w:r>
      <w:r w:rsidRPr="00B95B0B">
        <w:rPr>
          <w:i/>
          <w:sz w:val="22"/>
          <w:szCs w:val="22"/>
        </w:rPr>
        <w:t xml:space="preserve"> total service charges incurred exceed deposits held.</w:t>
      </w:r>
    </w:p>
    <w:p w:rsidR="00D36B77" w:rsidRPr="001C5F37" w:rsidRDefault="001C5F37" w:rsidP="00B95B0B">
      <w:pPr>
        <w:pStyle w:val="NormalWeb"/>
        <w:jc w:val="center"/>
        <w:rPr>
          <w:rFonts w:ascii="Bookman Old Style" w:hAnsi="Bookman Old Style"/>
          <w:color w:val="333333"/>
        </w:rPr>
      </w:pPr>
      <w:r w:rsidRPr="001C5F37">
        <w:rPr>
          <w:rFonts w:ascii="Bookman Old Style" w:hAnsi="Bookman Old Style"/>
          <w:color w:val="333333"/>
        </w:rPr>
        <w:t>SIGNATURES:</w:t>
      </w:r>
    </w:p>
    <w:p w:rsidR="00B95B0B" w:rsidRPr="00D36B77" w:rsidRDefault="00B95B0B" w:rsidP="00B95B0B">
      <w:pPr>
        <w:pStyle w:val="NormalWeb"/>
        <w:jc w:val="center"/>
        <w:rPr>
          <w:rFonts w:ascii="Bookman Old Style" w:hAnsi="Bookman Old Style"/>
          <w:color w:val="996600"/>
          <w:sz w:val="16"/>
          <w:szCs w:val="16"/>
          <w:lang w:val="bg-BG"/>
        </w:rPr>
      </w:pPr>
    </w:p>
    <w:sectPr w:rsidR="00B95B0B" w:rsidRPr="00D36B77" w:rsidSect="007671B3">
      <w:footnotePr>
        <w:numFmt w:val="lowerRoman"/>
      </w:footnotePr>
      <w:pgSz w:w="12240" w:h="15840" w:code="1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1C" w:rsidRDefault="008E7A1C">
      <w:r>
        <w:separator/>
      </w:r>
    </w:p>
  </w:endnote>
  <w:endnote w:type="continuationSeparator" w:id="0">
    <w:p w:rsidR="008E7A1C" w:rsidRDefault="008E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1C" w:rsidRDefault="008E7A1C">
      <w:r>
        <w:separator/>
      </w:r>
    </w:p>
  </w:footnote>
  <w:footnote w:type="continuationSeparator" w:id="0">
    <w:p w:rsidR="008E7A1C" w:rsidRDefault="008E7A1C">
      <w:r>
        <w:continuationSeparator/>
      </w:r>
    </w:p>
  </w:footnote>
  <w:footnote w:id="1">
    <w:p w:rsidR="00AB6EF5" w:rsidRDefault="00AB6EF5">
      <w:pPr>
        <w:pStyle w:val="FootnoteText"/>
      </w:pPr>
      <w:r w:rsidRPr="00253A85">
        <w:rPr>
          <w:rStyle w:val="FootnoteReference"/>
          <w:b/>
          <w:color w:val="008080"/>
          <w:sz w:val="24"/>
          <w:szCs w:val="24"/>
        </w:rPr>
        <w:footnoteRef/>
      </w:r>
      <w:r>
        <w:t xml:space="preserve"> </w:t>
      </w:r>
      <w:r w:rsidRPr="00307CCA">
        <w:rPr>
          <w:rFonts w:ascii="Verdana" w:hAnsi="Verdana"/>
          <w:color w:val="5F5F5F"/>
          <w:sz w:val="16"/>
          <w:szCs w:val="16"/>
        </w:rPr>
        <w:t>This note reasonable appears as a part of the Payment Terms and Conditions attending Operating Cost Estimations we bill the customers for service remuneration, and on the invoice overleaf.</w:t>
      </w:r>
    </w:p>
  </w:footnote>
  <w:footnote w:id="2">
    <w:p w:rsidR="00AB6EF5" w:rsidRDefault="00AB6EF5">
      <w:pPr>
        <w:pStyle w:val="FootnoteText"/>
      </w:pPr>
      <w:r w:rsidRPr="00253A85">
        <w:rPr>
          <w:rStyle w:val="FootnoteReference"/>
          <w:b/>
          <w:color w:val="008080"/>
          <w:sz w:val="24"/>
          <w:szCs w:val="24"/>
        </w:rPr>
        <w:footnoteRef/>
      </w:r>
      <w:r>
        <w:t xml:space="preserve"> </w:t>
      </w:r>
      <w:r>
        <w:rPr>
          <w:rFonts w:ascii="Verdana" w:hAnsi="Verdana"/>
          <w:color w:val="5F5F5F"/>
          <w:sz w:val="16"/>
          <w:szCs w:val="16"/>
        </w:rPr>
        <w:t>According to the Generally Accepted R</w:t>
      </w:r>
      <w:r w:rsidRPr="00307CCA">
        <w:rPr>
          <w:rFonts w:ascii="Verdana" w:hAnsi="Verdana"/>
          <w:color w:val="5F5F5F"/>
          <w:sz w:val="16"/>
          <w:szCs w:val="16"/>
        </w:rPr>
        <w:t xml:space="preserve">ules for </w:t>
      </w:r>
      <w:r>
        <w:rPr>
          <w:rFonts w:ascii="Verdana" w:hAnsi="Verdana"/>
          <w:color w:val="5F5F5F"/>
          <w:sz w:val="16"/>
          <w:szCs w:val="16"/>
        </w:rPr>
        <w:t xml:space="preserve">round business trip of </w:t>
      </w:r>
      <w:smartTag w:uri="urn:schemas-microsoft-com:office:smarttags" w:element="country-region">
        <w:smartTag w:uri="urn:schemas-microsoft-com:office:smarttags" w:element="place">
          <w:r w:rsidRPr="00307CCA">
            <w:rPr>
              <w:rFonts w:ascii="Verdana" w:hAnsi="Verdana"/>
              <w:color w:val="5F5F5F"/>
              <w:sz w:val="16"/>
              <w:szCs w:val="16"/>
            </w:rPr>
            <w:t>U</w:t>
          </w:r>
          <w:r>
            <w:rPr>
              <w:rFonts w:ascii="Verdana" w:hAnsi="Verdana"/>
              <w:color w:val="5F5F5F"/>
              <w:sz w:val="16"/>
              <w:szCs w:val="16"/>
            </w:rPr>
            <w:t>.</w:t>
          </w:r>
          <w:r w:rsidRPr="00307CCA">
            <w:rPr>
              <w:rFonts w:ascii="Verdana" w:hAnsi="Verdana"/>
              <w:color w:val="5F5F5F"/>
              <w:sz w:val="16"/>
              <w:szCs w:val="16"/>
            </w:rPr>
            <w:t>S</w:t>
          </w:r>
          <w:r>
            <w:rPr>
              <w:rFonts w:ascii="Verdana" w:hAnsi="Verdana"/>
              <w:color w:val="5F5F5F"/>
              <w:sz w:val="16"/>
              <w:szCs w:val="16"/>
            </w:rPr>
            <w:t>.</w:t>
          </w:r>
        </w:smartTag>
      </w:smartTag>
      <w:r w:rsidRPr="00307CCA">
        <w:rPr>
          <w:rFonts w:ascii="Verdana" w:hAnsi="Verdana"/>
          <w:color w:val="5F5F5F"/>
          <w:sz w:val="16"/>
          <w:szCs w:val="16"/>
        </w:rPr>
        <w:t xml:space="preserve"> state officers </w:t>
      </w:r>
      <w:r>
        <w:rPr>
          <w:rFonts w:ascii="Verdana" w:hAnsi="Verdana"/>
          <w:color w:val="5F5F5F"/>
          <w:sz w:val="16"/>
          <w:szCs w:val="16"/>
        </w:rPr>
        <w:t>these expenses are</w:t>
      </w:r>
      <w:r w:rsidRPr="00307CCA">
        <w:rPr>
          <w:rFonts w:ascii="Verdana" w:hAnsi="Verdana"/>
          <w:color w:val="5F5F5F"/>
          <w:sz w:val="16"/>
          <w:szCs w:val="16"/>
        </w:rPr>
        <w:t xml:space="preserve"> usually 14 percent of accommodation, applying for laund</w:t>
      </w:r>
      <w:r>
        <w:rPr>
          <w:rFonts w:ascii="Verdana" w:hAnsi="Verdana"/>
          <w:color w:val="5F5F5F"/>
          <w:sz w:val="16"/>
          <w:szCs w:val="16"/>
        </w:rPr>
        <w:t>ering</w:t>
      </w:r>
      <w:r w:rsidRPr="00307CCA">
        <w:rPr>
          <w:rFonts w:ascii="Verdana" w:hAnsi="Verdana"/>
          <w:color w:val="5F5F5F"/>
          <w:sz w:val="16"/>
          <w:szCs w:val="16"/>
        </w:rPr>
        <w:t xml:space="preserve"> and other hotel services</w:t>
      </w:r>
      <w:r>
        <w:rPr>
          <w:rFonts w:ascii="Verdana" w:hAnsi="Verdana"/>
          <w:color w:val="5F5F5F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55A0"/>
    <w:multiLevelType w:val="hybridMultilevel"/>
    <w:tmpl w:val="41D04846"/>
    <w:lvl w:ilvl="0" w:tplc="1D56E816">
      <w:start w:val="1"/>
      <w:numFmt w:val="lowerLetter"/>
      <w:lvlText w:val="%1)"/>
      <w:lvlJc w:val="left"/>
      <w:pPr>
        <w:tabs>
          <w:tab w:val="num" w:pos="635"/>
        </w:tabs>
        <w:ind w:left="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" w15:restartNumberingAfterBreak="0">
    <w:nsid w:val="3E9406D0"/>
    <w:multiLevelType w:val="hybridMultilevel"/>
    <w:tmpl w:val="2A8A7300"/>
    <w:lvl w:ilvl="0" w:tplc="04090017">
      <w:start w:val="1"/>
      <w:numFmt w:val="lowerLetter"/>
      <w:lvlText w:val="%1)"/>
      <w:lvlJc w:val="left"/>
      <w:pPr>
        <w:tabs>
          <w:tab w:val="num" w:pos="995"/>
        </w:tabs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5"/>
        </w:tabs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5"/>
        </w:tabs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5"/>
        </w:tabs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5"/>
        </w:tabs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5"/>
        </w:tabs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5"/>
        </w:tabs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5"/>
        </w:tabs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5"/>
        </w:tabs>
        <w:ind w:left="67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K70BaTx8WUxnyvnTeulyll/kAFC37zxCXDJ2I0pBQEoWCuZtUOiF9pOCO5Wk08h09w+xbAVYhXJQiYbJUuVkg==" w:salt="pVpuoj1ek5DeqxiMGMonv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BB"/>
    <w:rsid w:val="00070A6D"/>
    <w:rsid w:val="000714FD"/>
    <w:rsid w:val="00077A83"/>
    <w:rsid w:val="000B3F2F"/>
    <w:rsid w:val="000F1097"/>
    <w:rsid w:val="000F52BB"/>
    <w:rsid w:val="00132C6B"/>
    <w:rsid w:val="00181D0D"/>
    <w:rsid w:val="001C5F37"/>
    <w:rsid w:val="001E28D1"/>
    <w:rsid w:val="00213B80"/>
    <w:rsid w:val="00230618"/>
    <w:rsid w:val="00253A85"/>
    <w:rsid w:val="002952A5"/>
    <w:rsid w:val="002C0B77"/>
    <w:rsid w:val="00306855"/>
    <w:rsid w:val="00307CCA"/>
    <w:rsid w:val="00346EDA"/>
    <w:rsid w:val="00377A71"/>
    <w:rsid w:val="003C3CA5"/>
    <w:rsid w:val="003E4712"/>
    <w:rsid w:val="0040044B"/>
    <w:rsid w:val="004D0690"/>
    <w:rsid w:val="004D43C4"/>
    <w:rsid w:val="0050226B"/>
    <w:rsid w:val="005E40CF"/>
    <w:rsid w:val="005F1524"/>
    <w:rsid w:val="0061305D"/>
    <w:rsid w:val="0068273B"/>
    <w:rsid w:val="006C1675"/>
    <w:rsid w:val="00710D5F"/>
    <w:rsid w:val="007167AB"/>
    <w:rsid w:val="007671B3"/>
    <w:rsid w:val="007703EC"/>
    <w:rsid w:val="00783DF5"/>
    <w:rsid w:val="007B7613"/>
    <w:rsid w:val="007C2058"/>
    <w:rsid w:val="007C4D1C"/>
    <w:rsid w:val="0082276A"/>
    <w:rsid w:val="00836733"/>
    <w:rsid w:val="00847506"/>
    <w:rsid w:val="008D6410"/>
    <w:rsid w:val="008E7A1C"/>
    <w:rsid w:val="009109FB"/>
    <w:rsid w:val="009A3487"/>
    <w:rsid w:val="009C3573"/>
    <w:rsid w:val="009E6340"/>
    <w:rsid w:val="00A27530"/>
    <w:rsid w:val="00A42C27"/>
    <w:rsid w:val="00AB6EF5"/>
    <w:rsid w:val="00B45136"/>
    <w:rsid w:val="00B64C32"/>
    <w:rsid w:val="00B95B0B"/>
    <w:rsid w:val="00BD22F2"/>
    <w:rsid w:val="00C11859"/>
    <w:rsid w:val="00C27C60"/>
    <w:rsid w:val="00C604B2"/>
    <w:rsid w:val="00CA67DE"/>
    <w:rsid w:val="00CD54E4"/>
    <w:rsid w:val="00D36B77"/>
    <w:rsid w:val="00D6280E"/>
    <w:rsid w:val="00D854B1"/>
    <w:rsid w:val="00E4522B"/>
    <w:rsid w:val="00EA198F"/>
    <w:rsid w:val="00EF355B"/>
    <w:rsid w:val="00F12822"/>
    <w:rsid w:val="00F14DC1"/>
    <w:rsid w:val="00F228AE"/>
    <w:rsid w:val="00F3398C"/>
    <w:rsid w:val="00F66AF7"/>
    <w:rsid w:val="00F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BF81F-3AC1-4541-874D-A9CA848A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5B0B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B95B0B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rsid w:val="00B95B0B"/>
    <w:rPr>
      <w:sz w:val="20"/>
      <w:szCs w:val="20"/>
    </w:rPr>
  </w:style>
  <w:style w:type="character" w:styleId="EndnoteReference">
    <w:name w:val="endnote reference"/>
    <w:semiHidden/>
    <w:rsid w:val="00B95B0B"/>
    <w:rPr>
      <w:vertAlign w:val="superscript"/>
    </w:rPr>
  </w:style>
  <w:style w:type="paragraph" w:styleId="FootnoteText">
    <w:name w:val="footnote text"/>
    <w:basedOn w:val="Normal"/>
    <w:semiHidden/>
    <w:rsid w:val="00307CCA"/>
    <w:rPr>
      <w:sz w:val="20"/>
      <w:szCs w:val="20"/>
    </w:rPr>
  </w:style>
  <w:style w:type="character" w:styleId="FootnoteReference">
    <w:name w:val="footnote reference"/>
    <w:semiHidden/>
    <w:rsid w:val="00307CCA"/>
    <w:rPr>
      <w:vertAlign w:val="superscript"/>
    </w:rPr>
  </w:style>
  <w:style w:type="character" w:styleId="Hyperlink">
    <w:name w:val="Hyperlink"/>
    <w:rsid w:val="002952A5"/>
    <w:rPr>
      <w:color w:val="0000FF"/>
      <w:u w:val="single"/>
    </w:rPr>
  </w:style>
  <w:style w:type="character" w:styleId="FollowedHyperlink">
    <w:name w:val="FollowedHyperlink"/>
    <w:rsid w:val="00F66A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ic-london.co.uk/ctrl/practice/allowan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1F22-CE99-4872-9CE3-43694D18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1895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2215</CharactersWithSpaces>
  <SharedDoc>false</SharedDoc>
  <HLinks>
    <vt:vector size="6" baseType="variant"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http://iic-london.co.uk/ctrl/practice/allowance.htm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IIC</dc:creator>
  <cp:keywords/>
  <dc:description/>
  <cp:lastModifiedBy>george angelow</cp:lastModifiedBy>
  <cp:revision>2</cp:revision>
  <dcterms:created xsi:type="dcterms:W3CDTF">2016-06-16T19:34:00Z</dcterms:created>
  <dcterms:modified xsi:type="dcterms:W3CDTF">2016-06-16T19:34:00Z</dcterms:modified>
</cp:coreProperties>
</file>